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49.0" w:type="dxa"/>
        <w:jc w:val="left"/>
        <w:tblInd w:w="-731.0" w:type="dxa"/>
        <w:tblLayout w:type="fixed"/>
        <w:tblLook w:val="0000"/>
      </w:tblPr>
      <w:tblGrid>
        <w:gridCol w:w="1812"/>
        <w:gridCol w:w="9237"/>
        <w:tblGridChange w:id="0">
          <w:tblGrid>
            <w:gridCol w:w="1812"/>
            <w:gridCol w:w="923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-16509</wp:posOffset>
                  </wp:positionH>
                  <wp:positionV relativeFrom="paragraph">
                    <wp:posOffset>87630</wp:posOffset>
                  </wp:positionV>
                  <wp:extent cx="1114425" cy="768985"/>
                  <wp:effectExtent b="0" l="0" r="0" t="0"/>
                  <wp:wrapSquare wrapText="bothSides" distB="0" distT="0" distL="0" distR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7689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bottom w:color="3465a4" w:space="0" w:sz="12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pStyle w:val="Title"/>
              <w:spacing w:after="120" w:before="240" w:lineRule="auto"/>
              <w:rPr>
                <w:sz w:val="48"/>
                <w:szCs w:val="48"/>
              </w:rPr>
            </w:pPr>
            <w:r w:rsidDel="00000000" w:rsidR="00000000" w:rsidRPr="00000000">
              <w:rPr>
                <w:sz w:val="48"/>
                <w:szCs w:val="48"/>
                <w:rtl w:val="0"/>
              </w:rPr>
              <w:t xml:space="preserve">Información al alumnado y sus familias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center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Curso 202</w:t>
            </w:r>
            <w:r w:rsidDel="00000000" w:rsidR="00000000" w:rsidRPr="00000000">
              <w:rPr>
                <w:sz w:val="44"/>
                <w:szCs w:val="44"/>
                <w:rtl w:val="0"/>
              </w:rPr>
              <w:t xml:space="preserve">5</w:t>
            </w:r>
            <w:r w:rsidDel="00000000" w:rsidR="00000000" w:rsidRPr="00000000"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/2</w:t>
            </w:r>
            <w:r w:rsidDel="00000000" w:rsidR="00000000" w:rsidRPr="00000000">
              <w:rPr>
                <w:sz w:val="44"/>
                <w:szCs w:val="4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Title"/>
        <w:rPr>
          <w:rFonts w:ascii="Liberation Sans" w:cs="Liberation Sans" w:eastAsia="Liberation Sans" w:hAnsi="Liberation Sans"/>
          <w:b w:val="1"/>
          <w:color w:val="213c70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Ind w:w="-105.0" w:type="dxa"/>
        <w:tblBorders>
          <w:top w:color="213c70" w:space="0" w:sz="6" w:val="single"/>
          <w:left w:color="213c70" w:space="0" w:sz="6" w:val="single"/>
          <w:bottom w:color="213c70" w:space="0" w:sz="4" w:val="single"/>
          <w:insideH w:color="213c70" w:space="0" w:sz="4" w:val="single"/>
        </w:tblBorders>
        <w:tblLayout w:type="fixed"/>
        <w:tblLook w:val="0000"/>
      </w:tblPr>
      <w:tblGrid>
        <w:gridCol w:w="3237"/>
        <w:gridCol w:w="6401"/>
        <w:tblGridChange w:id="0">
          <w:tblGrid>
            <w:gridCol w:w="3237"/>
            <w:gridCol w:w="64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13c70" w:space="0" w:sz="6" w:val="single"/>
              <w:left w:color="213c70" w:space="0" w:sz="6" w:val="single"/>
              <w:bottom w:color="213c70" w:space="0" w:sz="4" w:val="single"/>
            </w:tcBorders>
            <w:shd w:fill="dee2eb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Departamento:</w:t>
            </w:r>
          </w:p>
        </w:tc>
        <w:tc>
          <w:tcPr>
            <w:tcBorders>
              <w:top w:color="213c70" w:space="0" w:sz="6" w:val="single"/>
              <w:left w:color="213c70" w:space="0" w:sz="4" w:val="single"/>
              <w:bottom w:color="213c70" w:space="0" w:sz="4" w:val="single"/>
              <w:right w:color="213c70" w:space="0" w:sz="6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Física y Química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</w:tcBorders>
            <w:shd w:fill="dee2eb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Materia o ámbito:</w:t>
            </w:r>
          </w:p>
        </w:tc>
        <w:tc>
          <w:tcPr>
            <w:tcBorders>
              <w:left w:color="213c70" w:space="0" w:sz="4" w:val="single"/>
              <w:bottom w:color="213c70" w:space="0" w:sz="4" w:val="single"/>
              <w:right w:color="213c70" w:space="0" w:sz="6" w:val="single"/>
            </w:tcBorders>
            <w:shd w:fill="ffffff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Física y Química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6" w:val="single"/>
            </w:tcBorders>
            <w:shd w:fill="dee2eb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Curso:</w:t>
            </w:r>
          </w:p>
        </w:tc>
        <w:tc>
          <w:tcPr>
            <w:tcBorders>
              <w:left w:color="213c70" w:space="0" w:sz="4" w:val="single"/>
              <w:bottom w:color="213c70" w:space="0" w:sz="6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</w:t>
            </w:r>
            <w:r w:rsidDel="00000000" w:rsidR="00000000" w:rsidRPr="00000000"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º ESO </w:t>
            </w:r>
          </w:p>
        </w:tc>
      </w:tr>
    </w:tbl>
    <w:p w:rsidR="00000000" w:rsidDel="00000000" w:rsidP="00000000" w:rsidRDefault="00000000" w:rsidRPr="00000000" w14:paraId="0000000D">
      <w:pPr>
        <w:rPr>
          <w:rFonts w:ascii="Liberation Sans" w:cs="Liberation Sans" w:eastAsia="Liberation Sans" w:hAnsi="Liberation Sans"/>
          <w:b w:val="1"/>
          <w:color w:val="213c70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Ind w:w="-105.0" w:type="dxa"/>
        <w:tblBorders>
          <w:top w:color="213c70" w:space="0" w:sz="6" w:val="single"/>
          <w:left w:color="213c70" w:space="0" w:sz="6" w:val="single"/>
          <w:bottom w:color="213c70" w:space="0" w:sz="4" w:val="single"/>
          <w:right w:color="213c70" w:space="0" w:sz="6" w:val="single"/>
          <w:insideH w:color="213c70" w:space="0" w:sz="4" w:val="single"/>
          <w:insideV w:color="213c70" w:space="0" w:sz="6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13c70" w:space="0" w:sz="6" w:val="single"/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dee2eb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Procedimientos e instrumentos de evaluación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0" w:before="200" w:line="336" w:lineRule="auto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Pruebas escritas (exámenes).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after="0" w:before="200" w:line="336" w:lineRule="auto"/>
              <w:rPr>
                <w:rFonts w:ascii="Linux Biolinum G" w:cs="Linux Biolinum G" w:eastAsia="Linux Biolinum G" w:hAnsi="Linux Biolinum G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Informes de prácticas de laboratorio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after="0" w:before="200" w:line="336" w:lineRule="auto"/>
              <w:rPr>
                <w:rFonts w:ascii="Linux Biolinum G" w:cs="Linux Biolinum G" w:eastAsia="Linux Biolinum G" w:hAnsi="Linux Biolinum G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Trabajos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0" w:before="200" w:line="336" w:lineRule="auto"/>
              <w:rPr>
                <w:rFonts w:ascii="Linux Biolinum G" w:cs="Linux Biolinum G" w:eastAsia="Linux Biolinum G" w:hAnsi="Linux Biolinum G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Pequeñas pruebas escritas (controles)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before="200" w:line="336" w:lineRule="auto"/>
              <w:jc w:val="left"/>
              <w:rPr/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Revisión de la tarea y la observación del trabajo en clase. (cuaderno del alumnado)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rFonts w:ascii="Liberation Sans" w:cs="Liberation Sans" w:eastAsia="Liberation Sans" w:hAnsi="Liberation Sans"/>
          <w:b w:val="1"/>
          <w:color w:val="213c70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8.0" w:type="dxa"/>
        <w:jc w:val="left"/>
        <w:tblInd w:w="-105.0" w:type="dxa"/>
        <w:tblBorders>
          <w:top w:color="213c70" w:space="0" w:sz="6" w:val="single"/>
          <w:left w:color="213c70" w:space="0" w:sz="6" w:val="single"/>
          <w:bottom w:color="213c70" w:space="0" w:sz="4" w:val="single"/>
          <w:right w:color="213c70" w:space="0" w:sz="6" w:val="single"/>
          <w:insideH w:color="213c70" w:space="0" w:sz="4" w:val="single"/>
          <w:insideV w:color="213c70" w:space="0" w:sz="6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13c70" w:space="0" w:sz="6" w:val="single"/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dee2eb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Criterios de evaluación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1.1. Identificar, comprender y explicar los fenómenos fisicoquímicos cotidianos más relevantes a partir de los principios, teorías y leyes científicas adecuadas, expresándolos, de manera argumentada, utilizando diversidad de soportes y medios de comunicación.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1.2. Resolver los problemas fisicoquímicos planteados utilizando las leyes y teorías científicas adecuadas, razonando los procedimientos utilizados para encontrar las soluciones y expresando adecuadamente los resultados.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1.3. Reconocer y describir en el entorno inmediato situaciones problemáticas reales de índole científica y emprender iniciativas en las que la ciencia, y en particular la física y la química, pueden contribuir a su solución, analizando críticamente su impacto en la sociedad.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2.1. Emplear las metodologías propias de la ciencia en la identificación y descripción de fenómenos a partir de cuestiones a las que se pueda dar respuesta a través de la indagación, la deducción, el trabajo experimental y el razonamiento lógico-matemático, diferenciándolas de aquellas pseudocientíficas que no admiten comprobación experimental.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2.2. Seleccionar, de acuerdo con la naturaleza de las cuestiones que se traten, la mejor manera de comprobar o refutar las hipótesis formuladas, diseñando estrategias de indagación y búsqueda de evidencias que permitan obtener conclusiones y respuestas ajustadas a la naturaleza de la pregunta formulada.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2.3. Aplicar las leyes y teorías científicas conocidas al formular cuestiones e hipótesis, siendo coherente con el conocimiento científico existente y diseñando los procedimientos experimentales o deductivos necesarios para resolverlas o comprobarlas.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3.1. Emplear datos en diferentes formatos para interpretar y comunicar información relativa a un proceso fisicoquímico concreto, relacionando entre sí lo que cada uno de ellos contiene, y extrayendo en cada caso lo más relevante para la resolución de un problema.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3.2. Utilizar adecuadamente las reglas básicas de la física y la química, incluyendo el uso de unidades de medida, las herramientas matemáticas </w:t>
            </w:r>
            <w:r w:rsidDel="00000000" w:rsidR="00000000" w:rsidRPr="00000000">
              <w:rPr>
                <w:color w:val="ff0000"/>
                <w:rtl w:val="0"/>
              </w:rPr>
              <w:t xml:space="preserve">y las reglas de nomenclatura</w:t>
            </w:r>
            <w:r w:rsidDel="00000000" w:rsidR="00000000" w:rsidRPr="00000000">
              <w:rPr>
                <w:rtl w:val="0"/>
              </w:rPr>
              <w:t xml:space="preserve">, consiguiendo una comunicación efectiva con toda la comunidad científica.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3.3. Poner en práctica las normas de uso de los espacios específicos de la ciencia, como el laboratorio de Física y Química, asegurando la salud propia y colectiva, la conservación sostenible del medio ambiente y el cuidado de las instalaciones.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4.1. Utilizar recursos variados, tradicionales y digitales, mejorando el aprendizaje autónomo y la interacción con otros miembros de la comunidad educativa, con respeto hacia docentes y estudiantes y analizando críticamente las aportaciones de cada participante.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4.2. Trabajar de forma adecuada con medios variados, tradicionales y digitales, en la consulta de información y la creación de contenidos, seleccionando con criterio las fuentes más fiables y desechando las menos adecuadas y mejorando el aprendizaje propio y colectivo.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5.1. Establecer interacciones constructivas y coeducativas, emprendiendo actividades de cooperación como forma de construir un medio de trabajo eficiente en la ciencia.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5.2. Emprender, de forma guiada y de acuerdo a la metodología adecuada, proyectos científicos que involucren al alumnado en la mejora de la sociedad y que creen valor para el individuo y para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</w:t>
            </w:r>
            <w:r w:rsidDel="00000000" w:rsidR="00000000" w:rsidRPr="00000000">
              <w:rPr>
                <w:rtl w:val="0"/>
              </w:rPr>
              <w:t xml:space="preserve">comunidad.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6.1. Reconocer y valorar, a través del análisis histórico de los avances científicos logrados por hombres y mujeres de ciencia, que la ciencia es un proceso en permanente construcción y las repercusiones mutuas de la ciencia actual con la tecnología, la sociedad y el medio ambiente.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6.2. Detectar en el entorno las necesidades tecnológicas, ambientales, económicas y sociales más importantes que demanda la sociedad, entendiendo la capacidad de la ciencia para darles solución sostenible a través de la implicación de toda la ciudadanía.</w:t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38.0" w:type="dxa"/>
        <w:jc w:val="left"/>
        <w:tblInd w:w="-105.0" w:type="dxa"/>
        <w:tblBorders>
          <w:top w:color="213c70" w:space="0" w:sz="6" w:val="single"/>
          <w:left w:color="213c70" w:space="0" w:sz="6" w:val="single"/>
          <w:bottom w:color="213c70" w:space="0" w:sz="4" w:val="single"/>
          <w:right w:color="213c70" w:space="0" w:sz="6" w:val="single"/>
          <w:insideH w:color="213c70" w:space="0" w:sz="4" w:val="single"/>
          <w:insideV w:color="213c70" w:space="0" w:sz="6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13c70" w:space="0" w:sz="6" w:val="single"/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dee2eb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Criterios de calificación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204"/>
              </w:tabs>
              <w:spacing w:after="0" w:before="20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nota media de cada evaluación se calcula como sigue: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after="0" w:before="200" w:line="336" w:lineRule="auto"/>
              <w:ind w:left="24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70% Pruebas escritas (exámenes).</w:t>
              <w:br w:type="textWrapping"/>
              <w:t xml:space="preserve">En caso de que un alumno no asista a la realización de un examen en la fecha prevista, el profesor únicamente le repetirá el examen si el alumno entrega un justificante con un motivo de peso y firmado por los padres.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after="0" w:before="200" w:line="336" w:lineRule="auto"/>
              <w:ind w:left="24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30% Informes de prácticas de laboratorio y/o trabajos y/o pequeñas pruebas escritas y/o revisión de la tarea y la observación del trabajo en clase.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204"/>
              </w:tabs>
              <w:spacing w:after="0" w:before="20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 principio de la tercera evaluación se realizará de manera voluntaria un test de 20 preguntas sobre el libro de lectura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La clave secreta del universo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de Stephen y Lucy Hawking. Las preguntas falladas no restan, pero el alumno deberá responder correctamente a un mínimo de 15 preguntas para subir la nota final de la tercera evaluación en 0,5 puntos.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204"/>
              </w:tabs>
              <w:spacing w:after="0" w:before="200" w:line="33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 nota final del curso es la media aritmética de las tres evaluaciones. El alumnado superará la materia cuando tenga una nota igual o superior a 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204"/>
              </w:tabs>
              <w:spacing w:after="0" w:before="200" w:line="336" w:lineRule="auto"/>
              <w:rPr>
                <w:rFonts w:ascii="Arial" w:cs="Arial" w:eastAsia="Arial" w:hAnsi="Arial"/>
                <w:i w:val="0"/>
                <w:strike w:val="0"/>
                <w:color w:val="00000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Cada evaluación tendrá una única recuperación una vez finalizada la evaluación correspondiente, cuya nota, si es superior, sustituirá a la de la evaluación suspensa.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left"/>
        <w:tblInd w:w="-105.0" w:type="dxa"/>
        <w:tblBorders>
          <w:top w:color="213c70" w:space="0" w:sz="6" w:val="single"/>
          <w:left w:color="213c70" w:space="0" w:sz="6" w:val="single"/>
          <w:bottom w:color="213c70" w:space="0" w:sz="4" w:val="single"/>
          <w:right w:color="213c70" w:space="0" w:sz="6" w:val="single"/>
          <w:insideH w:color="213c70" w:space="0" w:sz="4" w:val="single"/>
          <w:insideV w:color="213c70" w:space="0" w:sz="6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13c70" w:space="0" w:sz="6" w:val="single"/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dee2eb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Criterios de promoción y titulación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6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57" w:before="57" w:lineRule="auto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Con respecto a la </w:t>
            </w:r>
            <w:r w:rsidDel="00000000" w:rsidR="00000000" w:rsidRPr="00000000">
              <w:rPr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promoción</w:t>
            </w:r>
            <w:r w:rsidDel="00000000" w:rsidR="00000000" w:rsidRPr="00000000">
              <w:rPr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se seguirá la normativa definida en el artículo 18 (Artículo 18. Promoción) de la Orden ECD/1172/2022, de 2 de agosto, por la que se aprueban el currículo y las características de la evaluación de la Educación Secundaria Obligatoria y se autoriza su aplicación en los centros docentes de la Comunidad Autónoma de Aragón.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57" w:before="57" w:lineRule="auto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Con respecto a la </w:t>
            </w:r>
            <w:r w:rsidDel="00000000" w:rsidR="00000000" w:rsidRPr="00000000">
              <w:rPr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titulación</w:t>
            </w:r>
            <w:r w:rsidDel="00000000" w:rsidR="00000000" w:rsidRPr="00000000">
              <w:rPr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se seguirá la normativa definida en el artículo 27 (Artículo 27. Título de Graduado o Graduada en Educación Secundaria Obligatoria) de la Orden indicada en el párrafo anterior.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638.0" w:type="dxa"/>
        <w:jc w:val="left"/>
        <w:tblInd w:w="-105.0" w:type="dxa"/>
        <w:tblBorders>
          <w:top w:color="213c70" w:space="0" w:sz="6" w:val="single"/>
          <w:left w:color="213c70" w:space="0" w:sz="6" w:val="single"/>
          <w:bottom w:color="213c70" w:space="0" w:sz="4" w:val="single"/>
          <w:right w:color="213c70" w:space="0" w:sz="6" w:val="single"/>
          <w:insideH w:color="213c70" w:space="0" w:sz="4" w:val="single"/>
          <w:insideV w:color="213c70" w:space="0" w:sz="6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13c70" w:space="0" w:sz="6" w:val="single"/>
              <w:left w:color="213c70" w:space="0" w:sz="6" w:val="single"/>
              <w:bottom w:color="213c70" w:space="0" w:sz="4" w:val="single"/>
              <w:right w:color="213c70" w:space="0" w:sz="6" w:val="single"/>
            </w:tcBorders>
            <w:shd w:fill="dee2eb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7" w:before="57" w:line="240" w:lineRule="auto"/>
              <w:ind w:left="0" w:right="0" w:firstLine="0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nux Biolinum G" w:cs="Linux Biolinum G" w:eastAsia="Linux Biolinum G" w:hAnsi="Linux Biolinum G"/>
                <w:b w:val="0"/>
                <w:i w:val="0"/>
                <w:smallCaps w:val="0"/>
                <w:strike w:val="0"/>
                <w:color w:val="3465a4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Medidas de intervención educativa que se precisen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213c70" w:space="0" w:sz="6" w:val="single"/>
              <w:bottom w:color="213c70" w:space="0" w:sz="6" w:val="single"/>
              <w:right w:color="213c70" w:space="0" w:sz="6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after="57" w:before="57" w:lineRule="auto"/>
              <w:jc w:val="both"/>
              <w:rPr>
                <w:rFonts w:ascii="Linux Biolinum G" w:cs="Linux Biolinum G" w:eastAsia="Linux Biolinum G" w:hAnsi="Linux Biolinum G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En función de las necesidades que surjan a lo largo del proceso, se implementarán las medidas adecuadas.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57" w:before="57" w:lineRule="auto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748" w:top="1134" w:left="1134" w:right="1134" w:header="0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ans"/>
  <w:font w:name="Linux Biolinum G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57" w:before="57" w:line="240" w:lineRule="auto"/>
      <w:ind w:left="0" w:right="0" w:firstLine="0"/>
      <w:jc w:val="right"/>
      <w:rPr>
        <w:rFonts w:ascii="Linux Biolinum G" w:cs="Linux Biolinum G" w:eastAsia="Linux Biolinum G" w:hAnsi="Linux Biolinum G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nux Biolinum G" w:cs="Linux Biolinum G" w:eastAsia="Linux Biolinum G" w:hAnsi="Linux Biolinum G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Linux Biolinum G" w:cs="Linux Biolinum G" w:eastAsia="Linux Biolinum G" w:hAnsi="Linux Biolinum G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Linux Biolinum G" w:cs="Linux Biolinum G" w:eastAsia="Linux Biolinum G" w:hAnsi="Linux Biolinum G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240" w:hanging="240"/>
      </w:pPr>
      <w:rPr>
        <w:smallCaps w:val="0"/>
        <w:strike w:val="0"/>
        <w:sz w:val="26"/>
        <w:szCs w:val="26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480" w:hanging="240"/>
      </w:pPr>
      <w:rPr>
        <w:smallCaps w:val="0"/>
        <w:strike w:val="0"/>
        <w:sz w:val="26"/>
        <w:szCs w:val="26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720" w:hanging="240"/>
      </w:pPr>
      <w:rPr>
        <w:smallCaps w:val="0"/>
        <w:strike w:val="0"/>
        <w:sz w:val="26"/>
        <w:szCs w:val="26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960" w:hanging="240"/>
      </w:pPr>
      <w:rPr>
        <w:smallCaps w:val="0"/>
        <w:strike w:val="0"/>
        <w:sz w:val="26"/>
        <w:szCs w:val="26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1200" w:hanging="240"/>
      </w:pPr>
      <w:rPr>
        <w:smallCaps w:val="0"/>
        <w:strike w:val="0"/>
        <w:sz w:val="26"/>
        <w:szCs w:val="26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1440" w:hanging="240"/>
      </w:pPr>
      <w:rPr>
        <w:smallCaps w:val="0"/>
        <w:strike w:val="0"/>
        <w:sz w:val="26"/>
        <w:szCs w:val="26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1680" w:hanging="240"/>
      </w:pPr>
      <w:rPr>
        <w:smallCaps w:val="0"/>
        <w:strike w:val="0"/>
        <w:sz w:val="26"/>
        <w:szCs w:val="26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1920" w:hanging="240"/>
      </w:pPr>
      <w:rPr>
        <w:smallCaps w:val="0"/>
        <w:strike w:val="0"/>
        <w:sz w:val="26"/>
        <w:szCs w:val="26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2160" w:hanging="240"/>
      </w:pPr>
      <w:rPr>
        <w:smallCaps w:val="0"/>
        <w:strike w:val="0"/>
        <w:sz w:val="26"/>
        <w:szCs w:val="26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nux Biolinum G" w:cs="Linux Biolinum G" w:eastAsia="Linux Biolinum G" w:hAnsi="Linux Biolinum G"/>
        <w:sz w:val="24"/>
        <w:szCs w:val="24"/>
        <w:lang w:val="es-ES"/>
      </w:rPr>
    </w:rPrDefault>
    <w:pPrDefault>
      <w:pPr>
        <w:spacing w:after="57" w:before="57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firstLine="0"/>
    </w:pPr>
    <w:rPr>
      <w:rFonts w:ascii="Liberation Sans" w:cs="Liberation Sans" w:eastAsia="Liberation Sans" w:hAnsi="Liberation Sans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0" w:firstLine="0"/>
    </w:pPr>
    <w:rPr>
      <w:rFonts w:ascii="Liberation Sans" w:cs="Liberation Sans" w:eastAsia="Liberation Sans" w:hAnsi="Liberation Sans"/>
      <w:b w:val="1"/>
      <w:color w:val="213c7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color w:val="3465a4"/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7.0" w:type="dxa"/>
        <w:left w:w="105.0" w:type="dxa"/>
        <w:bottom w:w="57.0" w:type="dxa"/>
        <w:right w:w="113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7.0" w:type="dxa"/>
        <w:left w:w="105.0" w:type="dxa"/>
        <w:bottom w:w="57.0" w:type="dxa"/>
        <w:right w:w="113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7.0" w:type="dxa"/>
        <w:left w:w="105.0" w:type="dxa"/>
        <w:bottom w:w="57.0" w:type="dxa"/>
        <w:right w:w="113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7.0" w:type="dxa"/>
        <w:left w:w="105.0" w:type="dxa"/>
        <w:bottom w:w="57.0" w:type="dxa"/>
        <w:right w:w="113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7.0" w:type="dxa"/>
        <w:left w:w="105.0" w:type="dxa"/>
        <w:bottom w:w="57.0" w:type="dxa"/>
        <w:right w:w="113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7.0" w:type="dxa"/>
        <w:left w:w="105.0" w:type="dxa"/>
        <w:bottom w:w="57.0" w:type="dxa"/>
        <w:right w:w="113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